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F80" w:rsidRPr="005E31AF" w:rsidRDefault="00ED5F80" w:rsidP="00ED5F80">
      <w:pPr>
        <w:spacing w:before="240" w:after="60" w:line="240" w:lineRule="auto"/>
        <w:jc w:val="center"/>
        <w:outlineLvl w:val="0"/>
        <w:rPr>
          <w:rFonts w:ascii="Calibri" w:eastAsia="Times New Roman" w:hAnsi="Calibri" w:cs="Arial"/>
          <w:b/>
          <w:bCs/>
          <w:kern w:val="28"/>
          <w:sz w:val="44"/>
          <w:szCs w:val="40"/>
        </w:rPr>
      </w:pPr>
      <w:bookmarkStart w:id="0" w:name="_GoBack"/>
      <w:bookmarkEnd w:id="0"/>
      <w:proofErr w:type="spellStart"/>
      <w:r w:rsidRPr="005E31AF">
        <w:rPr>
          <w:rFonts w:ascii="Calibri" w:eastAsia="Times New Roman" w:hAnsi="Calibri" w:cs="Arial"/>
          <w:b/>
          <w:bCs/>
          <w:kern w:val="28"/>
          <w:sz w:val="44"/>
          <w:szCs w:val="40"/>
        </w:rPr>
        <w:t>Alpheius</w:t>
      </w:r>
      <w:proofErr w:type="spellEnd"/>
      <w:r w:rsidRPr="005E31AF">
        <w:rPr>
          <w:rFonts w:ascii="Calibri" w:eastAsia="Times New Roman" w:hAnsi="Calibri" w:cs="Arial"/>
          <w:b/>
          <w:bCs/>
          <w:kern w:val="28"/>
          <w:sz w:val="44"/>
          <w:szCs w:val="40"/>
        </w:rPr>
        <w:t xml:space="preserve"> Global Enterprises</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eastAsia="en-AU"/>
        </w:rPr>
        <w:drawing>
          <wp:anchor distT="0" distB="0" distL="114300" distR="114300" simplePos="0" relativeHeight="251659264" behindDoc="0" locked="0" layoutInCell="1" allowOverlap="1" wp14:anchorId="7A85434A" wp14:editId="657378CC">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4"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ED5F80" w:rsidRPr="005E31AF" w:rsidRDefault="00ED5F80" w:rsidP="00ED5F80">
      <w:pPr>
        <w:spacing w:after="720" w:line="240" w:lineRule="auto"/>
        <w:jc w:val="center"/>
        <w:rPr>
          <w:rFonts w:ascii="Calibri" w:eastAsia="Times New Roman" w:hAnsi="Calibri" w:cs="Times New Roman"/>
          <w:i/>
          <w:iCs/>
          <w:sz w:val="36"/>
          <w:szCs w:val="24"/>
        </w:rPr>
      </w:pP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Introduction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been directly involved with a research project conducted by environmental monitoring group Environmental Equilibrium for Earth, (EEE) investigating the frog populations of the South East region over the last five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AGE Commitment</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In 2007, 1490 people were involved in the collection of frog data. These volunteers were divided into groups and the frog populations of 1200 different water sources were able to be collected. This data was returned to EEE for comparisons to previous years and the results were as follows:</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lastRenderedPageBreak/>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Comparison to Previous Years:</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Sadly, it was found that many of the habitats have suffered degradation due to continued human activity including poor storm water diversion, excessive clearance of </w:t>
      </w:r>
      <w:r w:rsidRPr="005E31AF">
        <w:rPr>
          <w:rFonts w:ascii="Calibri" w:eastAsia="Times New Roman" w:hAnsi="Calibri" w:cs="Times New Roman"/>
          <w:sz w:val="24"/>
          <w:szCs w:val="24"/>
        </w:rPr>
        <w:lastRenderedPageBreak/>
        <w:t>vegetation, excessive grazing of livestock, agricultural spraying and the introduction of exotic species.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ED5F80" w:rsidRPr="005E31AF" w:rsidRDefault="00ED5F80" w:rsidP="00ED5F80">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t>For Further Information: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New York</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72 Gardner Avenue</w:t>
        </w:r>
      </w:smartTag>
      <w:r w:rsidRPr="005E31AF">
        <w:rPr>
          <w:rFonts w:ascii="Calibri" w:eastAsia="Times New Roman" w:hAnsi="Calibri" w:cs="Times New Roman"/>
          <w:szCs w:val="20"/>
        </w:rPr>
        <w:br/>
      </w:r>
      <w:smartTag w:uri="urn:schemas-microsoft-com:office:smarttags" w:element="place">
        <w:r w:rsidRPr="005E31AF">
          <w:rPr>
            <w:rFonts w:ascii="Calibri" w:eastAsia="Times New Roman" w:hAnsi="Calibri" w:cs="Times New Roman"/>
            <w:szCs w:val="20"/>
          </w:rPr>
          <w:t>Brooklyn</w:t>
        </w:r>
      </w:smartTag>
      <w:r w:rsidRPr="005E31AF">
        <w:rPr>
          <w:rFonts w:ascii="Calibri" w:eastAsia="Times New Roman" w:hAnsi="Calibri" w:cs="Times New Roman"/>
          <w:szCs w:val="20"/>
        </w:rPr>
        <w:br/>
        <w:t>NY11222</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United States of America</w:t>
          </w:r>
        </w:smartTag>
      </w:smartTag>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lastRenderedPageBreak/>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t>Takapuna</w:t>
      </w:r>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Melbourne</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Pty Ltd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ED5F80" w:rsidRPr="005E31AF" w:rsidRDefault="00ED5F80" w:rsidP="00ED5F80">
      <w:pPr>
        <w:spacing w:after="120" w:line="240" w:lineRule="auto"/>
        <w:rPr>
          <w:rFonts w:ascii="Calibri" w:eastAsia="Times New Roman" w:hAnsi="Calibri" w:cs="Times New Roman"/>
          <w:sz w:val="24"/>
          <w:szCs w:val="24"/>
        </w:rPr>
      </w:pPr>
    </w:p>
    <w:p w:rsidR="00ED5F80" w:rsidRDefault="00ED5F80" w:rsidP="00ED5F80"/>
    <w:p w:rsidR="005A102B" w:rsidRDefault="00931E7E"/>
    <w:sectPr w:rsidR="005A102B" w:rsidSect="005E31AF">
      <w:pgSz w:w="11907" w:h="16840" w:code="9"/>
      <w:pgMar w:top="1797"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80"/>
    <w:rsid w:val="000A6A26"/>
    <w:rsid w:val="000D13AA"/>
    <w:rsid w:val="002C6C20"/>
    <w:rsid w:val="003E3A9B"/>
    <w:rsid w:val="007511CA"/>
    <w:rsid w:val="007E37B8"/>
    <w:rsid w:val="008F142B"/>
    <w:rsid w:val="00931E7E"/>
    <w:rsid w:val="00981402"/>
    <w:rsid w:val="00C57582"/>
    <w:rsid w:val="00CE215B"/>
    <w:rsid w:val="00D31FF9"/>
    <w:rsid w:val="00E53D93"/>
    <w:rsid w:val="00ED2164"/>
    <w:rsid w:val="00ED5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C5DCFF6B-0580-42DE-B250-57499293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80"/>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1055</Words>
  <Characters>6331</Characters>
  <Application>Microsoft Office Word</Application>
  <DocSecurity>0</DocSecurity>
  <Lines>6331</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2016-01-20T02:02:00Z</dcterms:created>
  <dcterms:modified xsi:type="dcterms:W3CDTF">2016-01-20T02:02:00Z</dcterms:modified>
</cp:coreProperties>
</file>